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170EBE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70EBE" w:rsidRDefault="0033691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170EBE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  <w:tr w:rsidR="00170EBE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170EB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170EBE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170EBE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ПБС</w:t>
            </w:r>
          </w:p>
        </w:tc>
      </w:tr>
      <w:tr w:rsidR="00170EB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</w:tr>
      <w:tr w:rsidR="00170EB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31520940</w:t>
            </w:r>
          </w:p>
        </w:tc>
      </w:tr>
      <w:tr w:rsidR="00170EB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</w:tr>
      <w:tr w:rsidR="00170EB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0"/>
              </w:rPr>
            </w:pPr>
          </w:p>
        </w:tc>
      </w:tr>
      <w:tr w:rsidR="00170EBE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Государственное казенное учреждение Новосибирской области «Центр занятости населения Баганского района»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023</w:t>
            </w:r>
          </w:p>
        </w:tc>
      </w:tr>
      <w:tr w:rsidR="00170EBE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  <w:tr w:rsidR="00170EBE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170EBE" w:rsidRDefault="00336912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50000000</w:t>
            </w:r>
          </w:p>
        </w:tc>
      </w:tr>
      <w:tr w:rsidR="00170EBE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  <w:tr w:rsidR="00170EB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170EB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  <w:tr w:rsidR="00170EBE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</w:tbl>
    <w:p w:rsidR="00170EBE" w:rsidRDefault="00170EBE">
      <w:pPr>
        <w:rPr>
          <w:vanish/>
        </w:rPr>
      </w:pPr>
    </w:p>
    <w:tbl>
      <w:tblPr>
        <w:tblW w:w="1027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10"/>
        <w:gridCol w:w="1019"/>
        <w:gridCol w:w="3040"/>
        <w:gridCol w:w="1559"/>
        <w:gridCol w:w="750"/>
      </w:tblGrid>
      <w:tr w:rsidR="00170EBE" w:rsidTr="00336912">
        <w:trPr>
          <w:trHeight w:val="255"/>
        </w:trPr>
        <w:tc>
          <w:tcPr>
            <w:tcW w:w="10278" w:type="dxa"/>
            <w:gridSpan w:val="5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ПОЯСНИТЕЛЬНАЯ ЗАПИСКА</w:t>
            </w:r>
          </w:p>
        </w:tc>
      </w:tr>
      <w:tr w:rsidR="00170EBE" w:rsidTr="00336912">
        <w:trPr>
          <w:trHeight w:val="240"/>
        </w:trPr>
        <w:tc>
          <w:tcPr>
            <w:tcW w:w="4929" w:type="dxa"/>
            <w:gridSpan w:val="2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  <w:sz w:val="24"/>
              </w:rPr>
            </w:pPr>
          </w:p>
        </w:tc>
        <w:tc>
          <w:tcPr>
            <w:tcW w:w="4599" w:type="dxa"/>
            <w:gridSpan w:val="2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  <w:sz w:val="24"/>
              </w:rPr>
            </w:pPr>
          </w:p>
        </w:tc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КОДЫ</w:t>
            </w:r>
          </w:p>
        </w:tc>
      </w:tr>
      <w:tr w:rsidR="00170EBE" w:rsidTr="00336912">
        <w:trPr>
          <w:trHeight w:val="240"/>
        </w:trPr>
        <w:tc>
          <w:tcPr>
            <w:tcW w:w="4929" w:type="dxa"/>
            <w:gridSpan w:val="2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  <w:sz w:val="24"/>
              </w:rPr>
            </w:pPr>
          </w:p>
        </w:tc>
        <w:tc>
          <w:tcPr>
            <w:tcW w:w="3040" w:type="dxa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  <w:sz w:val="24"/>
              </w:rPr>
            </w:pPr>
          </w:p>
        </w:tc>
        <w:tc>
          <w:tcPr>
            <w:tcW w:w="1559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Форма по ОКУД</w:t>
            </w:r>
          </w:p>
        </w:tc>
        <w:tc>
          <w:tcPr>
            <w:tcW w:w="750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0503160</w:t>
            </w:r>
          </w:p>
        </w:tc>
      </w:tr>
      <w:tr w:rsidR="00170EBE" w:rsidTr="00336912">
        <w:trPr>
          <w:trHeight w:val="225"/>
        </w:trPr>
        <w:tc>
          <w:tcPr>
            <w:tcW w:w="4929" w:type="dxa"/>
            <w:gridSpan w:val="2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3040" w:type="dxa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 «01» января 2025 г.</w:t>
            </w:r>
          </w:p>
        </w:tc>
        <w:tc>
          <w:tcPr>
            <w:tcW w:w="1559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750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01.01.2025</w:t>
            </w:r>
          </w:p>
        </w:tc>
      </w:tr>
      <w:tr w:rsidR="00170EBE" w:rsidTr="00336912">
        <w:trPr>
          <w:trHeight w:val="540"/>
        </w:trPr>
        <w:tc>
          <w:tcPr>
            <w:tcW w:w="4929" w:type="dxa"/>
            <w:gridSpan w:val="2"/>
            <w:vMerge w:val="restart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ГКУ НСО ЦЗН Баганского района</w:t>
            </w:r>
          </w:p>
        </w:tc>
        <w:tc>
          <w:tcPr>
            <w:tcW w:w="1559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 ОКПО</w:t>
            </w:r>
          </w:p>
        </w:tc>
        <w:tc>
          <w:tcPr>
            <w:tcW w:w="750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31520940</w:t>
            </w:r>
          </w:p>
        </w:tc>
      </w:tr>
      <w:tr w:rsidR="00170EBE" w:rsidTr="00336912">
        <w:trPr>
          <w:trHeight w:val="525"/>
        </w:trPr>
        <w:tc>
          <w:tcPr>
            <w:tcW w:w="4929" w:type="dxa"/>
            <w:gridSpan w:val="2"/>
            <w:vMerge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Segoe UI" w:eastAsia="Segoe UI" w:hAnsi="Segoe UI" w:cs="Segoe UI"/>
                <w:color w:val="000000"/>
              </w:rPr>
            </w:pPr>
            <w:r>
              <w:rPr>
                <w:rFonts w:ascii="Segoe UI" w:eastAsia="Segoe UI" w:hAnsi="Segoe UI" w:cs="Segoe UI"/>
                <w:color w:val="000000"/>
              </w:rPr>
              <w:t xml:space="preserve"> </w:t>
            </w:r>
          </w:p>
        </w:tc>
        <w:tc>
          <w:tcPr>
            <w:tcW w:w="1559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 по БК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</w:t>
            </w:r>
          </w:p>
        </w:tc>
      </w:tr>
      <w:tr w:rsidR="00170EBE" w:rsidTr="00336912">
        <w:trPr>
          <w:trHeight w:val="435"/>
        </w:trPr>
        <w:tc>
          <w:tcPr>
            <w:tcW w:w="4929" w:type="dxa"/>
            <w:gridSpan w:val="2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Областной бюджет Новосибирской области</w:t>
            </w:r>
          </w:p>
        </w:tc>
        <w:tc>
          <w:tcPr>
            <w:tcW w:w="1559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 ОКТМО</w:t>
            </w:r>
          </w:p>
        </w:tc>
        <w:tc>
          <w:tcPr>
            <w:tcW w:w="75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50603404</w:t>
            </w:r>
          </w:p>
        </w:tc>
      </w:tr>
      <w:tr w:rsidR="00170EBE" w:rsidTr="00336912">
        <w:trPr>
          <w:trHeight w:val="225"/>
        </w:trPr>
        <w:tc>
          <w:tcPr>
            <w:tcW w:w="4929" w:type="dxa"/>
            <w:gridSpan w:val="2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Периодичность: месячная, квартальная, годовая</w:t>
            </w:r>
          </w:p>
        </w:tc>
        <w:tc>
          <w:tcPr>
            <w:tcW w:w="3040" w:type="dxa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1559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</w:tr>
      <w:tr w:rsidR="00170EBE" w:rsidTr="00336912">
        <w:trPr>
          <w:trHeight w:val="225"/>
        </w:trPr>
        <w:tc>
          <w:tcPr>
            <w:tcW w:w="3910" w:type="dxa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Единица измерения:</w:t>
            </w:r>
          </w:p>
        </w:tc>
        <w:tc>
          <w:tcPr>
            <w:tcW w:w="1019" w:type="dxa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3040" w:type="dxa"/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1559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 ОКЕИ</w:t>
            </w:r>
          </w:p>
        </w:tc>
        <w:tc>
          <w:tcPr>
            <w:tcW w:w="75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</w:tr>
      <w:tr w:rsidR="00170EBE" w:rsidTr="00336912">
        <w:tc>
          <w:tcPr>
            <w:tcW w:w="39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EBE" w:rsidRDefault="00170EBE">
            <w:pPr>
              <w:rPr>
                <w:rFonts w:ascii="Segoe UI" w:eastAsia="Segoe UI" w:hAnsi="Segoe UI" w:cs="Segoe UI"/>
                <w:color w:val="000000"/>
              </w:rPr>
            </w:pPr>
          </w:p>
        </w:tc>
      </w:tr>
    </w:tbl>
    <w:p w:rsidR="00170EBE" w:rsidRDefault="00336912">
      <w:pPr>
        <w:spacing w:before="240" w:after="240" w:line="360" w:lineRule="auto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Организационная структура субъекта бюджетной отчетности.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 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  казенное учреждение Новосибирской области «Центр занятости населения Баганского района»  является некоммерческой организацией, создано в соответствии с распоряжением Правительства Новосибирской области от 31.03.2011г. № 100-рп «О создании государственных казенных учреждений Новосибирской области путем изменения типа существующих государственных бюджетных учреждений Новосибирской области».  В соответствии с  постановлением Губернатора Новосибирской области «О внесении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изменений в структуру исполнительных органов государственной власти Новосибирской области» от 04.07.2017 №128 учреждение подведомственно министерству труда и социального развития Новосибирской области. Учреждение является юридическим лицом, имеет самостоятельный баланс, лицевой счет по учету бюджетных средств в органе, осуществляющем кассовое обслуживание исполнения областного бюджета.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 занятости населения 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Министерства здравоохранения и социального развития Российской Федерации, индивидуальными правовыми актами Службы, территориального органа по вопросам занятости населения по Новосибирской области, нормативными правовыми актами органов государственной власти Новосибирской области и муниципальными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правовыми актами, принимаемыми в пределах их компетенции,  и другими нормативно-правовыми актами по вопросам занятости населения.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 занятости населения  действует на основании Устава, утвержденного приказом департамента имущества и земельных отношений Новосибирской области от 09.06.2011 года № 1199, ИНН 5417104058, КПП 541701001. ГКУ НСО ЦЗН Баганского района расположено по адресу 632770, Новосибирская область, с. Баган, ул. М. Горького, д. 20.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Центр занятости населения оказывает, в соответствии с законодательством Российской Федерации государственные, услуги в сфере содействия занятости населения и защиты от безработицы путем осуществления функций некоммерческого характера;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Регистрация граждан в целях содействия в поиске подходящей работы, а также регистрация безработных граждан;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Оказание в соответствии с законодательством о занятости населения следующих государственных услуг: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гражданам в поиске подходящей работы, а работодателям в подборе необходимых работников;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информирование о положении на рынке труда  в Новосибирской области;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организация ярмарок вакансий и учебных рабочих мест;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психологическая поддержка безработных граждан;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социальных выплат гражданам, признанным в установленном порядке безработными;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профессиональное обучение и дополнительное профессиональное образование безработных граждан, включая обучение в другой местности;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временного трудоустройства несовершеннолетних граждан в  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  ищущих работу впервые;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 адаптация безработных граждан на рынке труда;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содействует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регистрации;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Содействие работодателям в привлечении трудовых ресурсов субъектов Российской Федерации, не включенных в перечень, утвержденный Правительством Российской Федерации.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 проведение специальных мероприятий по профилированию безработных граждан (распределению безработных граждан на группы в зависимости от профиля их предыдущей профессиональной деятельности, уровня образования, пола, возраста и других социально-демографических характеристик в целях оказания им наиболее эффективной помощи при содействии в трудоустройстве с учетом складывающейся ситуации на рынке труда).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подготовке предложений по формированию государственных и региональных программ, предусматривающих мероприятия по содействию занятости населения.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государственных и региональных программ, предусматривающих мероприятия по содействию занятости населения, включая программы содействия занятости граждан, находящихся под риском увольнения, а также граждан, особо нуждающихся в социальной защите и испытывающих трудности в поиске работы.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ведение регистров получателей государственных услуг в сфере занятости населения.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2. Результаты деятельности субъекта бюджетной отчетности.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2024 году получили услуги по профессиональной ориентации 341 человек и психологической поддержке 48 человек.     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целях улучшения положения на рынке труда граждан, особо нуждающихся в социальной защите, центр занятости населения ведет работу по организации их временного трудоустройства. В отчетном периоде на организацию временного трудоустройства граждан, испытывающих трудности в поиске работы   трудоустроено 21 человек. Финансовые затраты на реализацию мероприятий, направленных на организацию трудоустройства граждан, испытывающих трудности в поиске работы в 2024 г.  составили: 331 049 рублей 49 копеек.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отчетном периоде на организацию общественных работ трудоустроено 11 чел. Финансовые затраты на реализацию мероприятия составили 76 122 рубля 60 копеек.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приобщения к труду несовершеннолетних граждан в возрасте от 14 до 18 лет, получения профессиональных навыков и адаптации на рынке труда центр реализовал мероприятия по организации временного трудоустройства данной категории граждан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этого организовывались  встречи, совещания, семинары, круглые столы с работодателями, на которых рассматривались вопросы организации  временного трудоустройства несовершеннолетних граждан, заключались договоры с привлечением средств работодателей и местного бюджета.    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 2024 г. на временные рабочие места было трудоустроено 78 несовершеннолетних граждан. Затраты составили: 279 949 рублей 56 копеек. 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 В ГКУ НСО ЦЗН Баганского района   безработные граждане, состоящие на учете в центре занятости, информируются о существующих заявках от  работодателей на профессиональное обучение, проводится определенная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работа: переориентация на профессии, пользующиеся спросом у работодателей, выявление склонностей и способностей человека работать по имеющейся вакансии. В 2024 году было направлено на профессиональное обучение 32 безработных гражданина. Затраты на обучение составили: 369 301 рубль 00 копеек.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2024  году проводилось профессиональное обучение женщин, находящихся в отпуске по уходу за ребенком до достижения им возраста трех лет. Было направленно 4 женщины, планирующих возвращение к трудовой деятельности, затраты областного бюджета на обучение и стипендию составили 70 373 рубля  10 копеек.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2024 году проводилось профессиональное обучение незанятых граждан, которым назначена пенсия по старости. Был направлен 1 человек, затраты областного бюджета на обучение составили 9 800 рублей 00 копеек.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2024 году проводилось профессиональное обучение и дополнительное профессиональное обучение инвалидов, в том числе инвалидов молодого возраста. Был направлен 1 безработный гражданин, затраты областного бюджета на обучение составили 23 000 рублей 00 копеек.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3. Анализ отчета об исполнении бюджета субъектом бюджетной отчетности.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Сведения об исполнении бюджета (ф. 0503164)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 Деятельность Центра занятости населения осуществлялась  в соответствии с бюджетной сметой на 2024 год.</w:t>
      </w:r>
    </w:p>
    <w:p w:rsidR="00170EBE" w:rsidRDefault="00336912">
      <w:pPr>
        <w:spacing w:line="360" w:lineRule="auto"/>
        <w:jc w:val="both"/>
        <w:rPr>
          <w:rFonts w:ascii="Segoe UI" w:eastAsia="Segoe UI" w:hAnsi="Segoe UI" w:cs="Segoe UI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Бюджетные назначения составили 24 941 537,07 руб., исполнение сметы 24 857 450,96 руб., что составило 99,66% . Неисполненные назначения – 84 086,11 руб.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4. Анализ показателей финансовой отчетности субъекта бюджетной отчетности.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Сведения о движении нефинансовых активов (ф. 0503168)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line="360" w:lineRule="auto"/>
        <w:ind w:firstLine="720"/>
        <w:rPr>
          <w:rFonts w:ascii="Segoe UI" w:eastAsia="Segoe UI" w:hAnsi="Segoe UI" w:cs="Segoe UI"/>
          <w:color w:val="000000"/>
          <w:sz w:val="24"/>
        </w:rPr>
      </w:pPr>
      <w:r>
        <w:rPr>
          <w:rFonts w:ascii="Segoe UI" w:eastAsia="Segoe UI" w:hAnsi="Segoe UI" w:cs="Segoe UI"/>
          <w:color w:val="000000"/>
          <w:sz w:val="24"/>
          <w:szCs w:val="24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Для обеспечения текущей деятельности в 2024 г. были приобретены: картриджи для принтеров на сумму 10 000,00 рублей; usb-накопитель на сумму 3 000,00 рублей; мониторы на сумму 53 000, рублей; бумага для офисной техники и канцелярские товары на сумму 115 003,88 рублей; хозяйственные товары на сумму 69 630,00 рублей; горюче смазочные материалы на сумму 102 042,61 рублей;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мягкий инвентарь на сумму 1 240,00 рублей. Всего на общую сумму 353 916,49 рублей. Приобретены основные средства на сумму 269 000,00 рублей в том числе: 2 МФУ и планшет на сумму 59 000,00 рублей; стеллажи архивные на сумму 120 000,00 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lastRenderedPageBreak/>
        <w:t xml:space="preserve">рублей;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кулер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для воды на сумму 15 000,00; кресла офисные на сумму 75 000,00 рублей для бесперебойной работы центра занятости. </w:t>
      </w:r>
    </w:p>
    <w:p w:rsidR="00170EBE" w:rsidRDefault="00336912">
      <w:pPr>
        <w:spacing w:before="240" w:after="240"/>
        <w:rPr>
          <w:rFonts w:ascii="Segoe UI" w:eastAsia="Segoe UI" w:hAnsi="Segoe UI" w:cs="Segoe UI"/>
          <w:color w:val="000000"/>
        </w:rPr>
      </w:pPr>
      <w:r>
        <w:rPr>
          <w:rFonts w:ascii="Segoe UI" w:eastAsia="Segoe UI" w:hAnsi="Segoe UI" w:cs="Segoe UI"/>
          <w:color w:val="000000"/>
          <w:sz w:val="20"/>
          <w:szCs w:val="20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2F2F2"/>
        </w:rPr>
        <w:t>Выявлено используемое программное обеспечение (неисключительные права на программу 1 С, катарсис) с неограниченным сроком использования, которое было приобретено в 2018 году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  но не отражено в межотчетном периоде  на 31.12.2020г. Проведено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исправление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балансовом счет 1.111.6I.000 "Права пользования программным обеспечением и базами данных" на сумму 57 302,00  рубля отражены нематериальные активы. </w:t>
      </w:r>
    </w:p>
    <w:p w:rsidR="00170EBE" w:rsidRDefault="00336912">
      <w:pPr>
        <w:spacing w:before="240" w:after="240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виду не целесообразности проведения восстановительного ремонта выявленных дефектов списаны основные средства в количестве 72 единицы на сумму 727 236,28 рублей со счета 1.101.34, 1.101.36, 1.21.36.000, 1.21.34.000 по согласованию с министерством труда и социального развития Новосибирской области. Прекращено право оперативного управления на нежилое помещение (площадью 451,6кв.м.) по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Октябрьская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42 стоимостью 4 790 184,68 рубля в связи с передачей в Департамент имущества и земельных отношений Новосибирской области.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Сведения по дебиторской и кредиторской задолженности (ф. 0503169)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состоянию на 01.01.2025г. дебиторская задолженность по счету 209.36 составляет 11 133,54 руб.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образовалась за счет выплаты авансового платежа по услугам связи), кредиторская задолженность отсутствует.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Сведения об изменении остатков валюты баланса (ф. 0503173)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2F2F2"/>
        </w:rPr>
        <w:t>Выявлено используемое программное обеспечение (неисключительные права на программу 1 С, катарсис) с неограниченным сроком использования, которое было приобретено в 2018 году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  но не отражено в межотчетном периоде  на 31.12.2020г. Проведено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исправление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балансовом счет 1.111.6I.000 "Права пользования программным обеспечением и базами данных" на сумму 57 302,00  рубля отражены нематериальные активы.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Сведения об остатках денежных средств на счетах получателя бюджетных средств (ф. 0503178)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 Остатков денежных средств на лицевых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счете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получателя бюджетных средств по состоянию на 01.01.2025 года нет.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 Просроченная кредиторская задолженность на 01.01.2025г. отсутствует.</w:t>
      </w:r>
    </w:p>
    <w:p w:rsidR="00170EBE" w:rsidRDefault="00336912">
      <w:pPr>
        <w:spacing w:before="240" w:after="240" w:line="36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center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5. Прочие вопросы деятельности субъекта бюджетной отчетности.</w:t>
      </w:r>
    </w:p>
    <w:p w:rsidR="00170EBE" w:rsidRDefault="00336912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основании Решения о проведении инвентаризации N0000-000001 от 01.10.2024г., перед составлением годовой отчетности, проведена инвентаризация основных средств и материальных запасов по состоянию на 01.10.2024г. Финансовых обязательств по состоянию на 31.12.2024г. Расхождений не выявлено.</w:t>
      </w:r>
    </w:p>
    <w:p w:rsidR="00170EBE" w:rsidRDefault="00336912">
      <w:pPr>
        <w:spacing w:before="240" w:after="240" w:line="36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Реализация результатов внутреннего финансового аудита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 целях подтверждения достоверности бюджетной отчетности проведены выборочные проверки первичных документов. В результате проверки ошибки не выявлены. Бюджетная отчетность за 2024 год является достоверной и соответствует порядку ведения бюджетного учета единой методологии бюджетного учета, составления, представления и утверждения бюджетной отчетности.</w:t>
      </w:r>
    </w:p>
    <w:p w:rsidR="00170EBE" w:rsidRDefault="00336912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0EBE" w:rsidRPr="005A7D4D" w:rsidRDefault="00336912" w:rsidP="005A7D4D">
      <w:pPr>
        <w:spacing w:before="240" w:after="240" w:line="360" w:lineRule="auto"/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форм отчетности, не включенных в состав бюджетной отчетности за отчетный период ввиду отсутствия числовых значений показателей отражен в таблице № 16 "Прочие вопросы деятельности субъекта бюджетной отчетности".</w:t>
      </w:r>
      <w:r>
        <w:rPr>
          <w:rFonts w:ascii="Segoe UI" w:eastAsia="Segoe UI" w:hAnsi="Segoe UI" w:cs="Segoe UI"/>
          <w:color w:val="000000"/>
          <w:sz w:val="24"/>
          <w:szCs w:val="24"/>
        </w:rPr>
        <w:t> </w:t>
      </w:r>
    </w:p>
    <w:p w:rsidR="00170EBE" w:rsidRDefault="0033691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202"/>
        <w:gridCol w:w="4223"/>
        <w:gridCol w:w="2385"/>
      </w:tblGrid>
      <w:tr w:rsidR="00170EBE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Коваленко Владимир Анатольевич</w:t>
            </w:r>
          </w:p>
        </w:tc>
      </w:tr>
      <w:tr w:rsidR="00170EBE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70EBE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70EB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  <w:tr w:rsidR="00170EB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70EBE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  <w:tr w:rsidR="00170EB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Савва Кристина Николаевна</w:t>
            </w:r>
          </w:p>
        </w:tc>
      </w:tr>
      <w:tr w:rsidR="00170EBE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33691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70EBE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Pr="00336912" w:rsidRDefault="00336912" w:rsidP="00336912">
            <w:pPr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33691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"27"   января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 w:rsidRPr="0033691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2025г.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170EB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0EBE" w:rsidRDefault="00170EBE">
            <w:pPr>
              <w:rPr>
                <w:sz w:val="24"/>
              </w:rPr>
            </w:pPr>
          </w:p>
        </w:tc>
      </w:tr>
    </w:tbl>
    <w:p w:rsidR="00170EBE" w:rsidRDefault="00336912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27.01.2025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Руководитель финансово-экономической служб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ы(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Савва Кристина Николаевна, Сертификат: 009A93D8AD731E07B6E0CAFFEB0E673D68, Действителен: с 15.08.2024 по 08.11.2025),Главный бухгалтер(Савва Кристина Николаевна, Сертификат: 009A93D8AD731E07B6E0CAFFEB0E673D68, Действителен: с 15.08.2024 по 08.11.2025),Руководитель(Коваленко Владимир Анатольевич, Сертификат: 0090D69C1544570B581EF057D91D8167CD, Действителен: с 16.09.2024 по 10.12.2025)        </w:t>
      </w:r>
    </w:p>
    <w:sectPr w:rsidR="00170EBE" w:rsidSect="00336912">
      <w:pgSz w:w="12240" w:h="15840"/>
      <w:pgMar w:top="1133" w:right="850" w:bottom="1134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70EBE"/>
    <w:rsid w:val="00170EBE"/>
    <w:rsid w:val="00336912"/>
    <w:rsid w:val="005A7D4D"/>
    <w:rsid w:val="0089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0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170EBE"/>
  </w:style>
  <w:style w:type="character" w:styleId="a3">
    <w:name w:val="Hyperlink"/>
    <w:rsid w:val="00170EBE"/>
    <w:rPr>
      <w:color w:val="0000FF"/>
      <w:u w:val="single"/>
    </w:rPr>
  </w:style>
  <w:style w:type="table" w:styleId="1">
    <w:name w:val="Table Simple 1"/>
    <w:basedOn w:val="a1"/>
    <w:rsid w:val="00170E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69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2223</Words>
  <Characters>12672</Characters>
  <Application>Microsoft Office Word</Application>
  <DocSecurity>0</DocSecurity>
  <Lines>105</Lines>
  <Paragraphs>29</Paragraphs>
  <ScaleCrop>false</ScaleCrop>
  <Company/>
  <LinksUpToDate>false</LinksUpToDate>
  <CharactersWithSpaces>14866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LUTOSHKINA</dc:creator>
  <cp:lastModifiedBy>LUTOSHKINA</cp:lastModifiedBy>
  <cp:revision>3</cp:revision>
  <cp:lastPrinted>2025-03-25T03:55:00Z</cp:lastPrinted>
  <dcterms:created xsi:type="dcterms:W3CDTF">2025-03-25T03:56:00Z</dcterms:created>
  <dcterms:modified xsi:type="dcterms:W3CDTF">2025-06-18T03:28:00Z</dcterms:modified>
</cp:coreProperties>
</file>