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36"/>
        <w:ind w:firstLine="709"/>
        <w:jc w:val="both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СФР по Новосибирской области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(далее </w:t>
      </w:r>
      <w:r>
        <w:rPr>
          <w:sz w:val="26"/>
          <w:szCs w:val="26"/>
        </w:rPr>
        <w:t xml:space="preserve">–</w:t>
      </w:r>
      <w:r>
        <w:rPr>
          <w:sz w:val="26"/>
          <w:szCs w:val="26"/>
        </w:rPr>
        <w:t xml:space="preserve"> ОСФР</w:t>
      </w:r>
      <w:r>
        <w:rPr>
          <w:sz w:val="26"/>
          <w:szCs w:val="26"/>
        </w:rPr>
        <w:t xml:space="preserve">)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осуществляет обеспечение инвалидов – участников специальной военной операции техническими (далее – инвалиды) средствами реабилитации и протезно-ортопедическими изделиями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40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Обеспечение осуществляется путем:</w:t>
      </w:r>
      <w:r>
        <w:rPr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</w:r>
    </w:p>
    <w:p>
      <w:pPr>
        <w:pStyle w:val="840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-</w:t>
      </w:r>
      <w:r>
        <w:rPr>
          <w:sz w:val="26"/>
          <w:szCs w:val="26"/>
          <w:highlight w:val="white"/>
        </w:rPr>
        <w:t xml:space="preserve"> предоставления соответствующего технического средства (изделия);</w:t>
      </w:r>
      <w:r>
        <w:rPr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</w:r>
    </w:p>
    <w:p>
      <w:pPr>
        <w:pStyle w:val="840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- </w:t>
      </w:r>
      <w:r>
        <w:rPr>
          <w:sz w:val="26"/>
          <w:szCs w:val="26"/>
          <w:highlight w:val="white"/>
        </w:rPr>
        <w:t xml:space="preserve">оказания услуг по ремонту или замене ранее предоставленного технического средства (изделия);</w:t>
      </w:r>
      <w:r>
        <w:rPr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</w:r>
    </w:p>
    <w:p>
      <w:pPr>
        <w:pStyle w:val="840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- </w:t>
      </w:r>
      <w:r>
        <w:rPr>
          <w:sz w:val="26"/>
          <w:szCs w:val="26"/>
          <w:highlight w:val="white"/>
        </w:rPr>
        <w:t xml:space="preserve">предоставления проезда инвалиду (ветерану, при необходимости - сопровождающему лицу) к месту нахождения организации, </w:t>
      </w:r>
      <w:r>
        <w:rPr>
          <w:sz w:val="26"/>
          <w:szCs w:val="26"/>
          <w:highlight w:val="white"/>
        </w:rPr>
        <w:t xml:space="preserve">в которую выдано направление на получение технического средства реабилитации;</w:t>
      </w:r>
      <w:r>
        <w:rPr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</w:r>
    </w:p>
    <w:p>
      <w:pPr>
        <w:pStyle w:val="840"/>
        <w:ind w:firstLine="709"/>
        <w:jc w:val="both"/>
        <w:rPr>
          <w:sz w:val="26"/>
          <w:szCs w:val="26"/>
          <w:highlight w:val="yellow"/>
        </w:rPr>
      </w:pPr>
      <w:r>
        <w:rPr>
          <w:sz w:val="26"/>
          <w:szCs w:val="26"/>
          <w:highlight w:val="white"/>
        </w:rPr>
        <w:t xml:space="preserve">- </w:t>
      </w:r>
      <w:r>
        <w:rPr>
          <w:sz w:val="26"/>
          <w:szCs w:val="26"/>
          <w:highlight w:val="white"/>
        </w:rPr>
        <w:t xml:space="preserve">формирования электронного сертификата для приобретения технического средства (изделия) и услуги по ремонту технического средства (изделия) с использованием электронного сертификата.</w:t>
      </w:r>
      <w:r>
        <w:rPr>
          <w:sz w:val="26"/>
          <w:szCs w:val="26"/>
          <w:highlight w:val="yellow"/>
        </w:rPr>
      </w:r>
      <w:r>
        <w:rPr>
          <w:sz w:val="26"/>
          <w:szCs w:val="26"/>
          <w:highlight w:val="yellow"/>
        </w:rPr>
      </w:r>
    </w:p>
    <w:p>
      <w:pPr>
        <w:pStyle w:val="8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беспечение инвалидов осуществляется в соответствии с рекомендациями, указанными в </w:t>
      </w:r>
      <w:hyperlink r:id="rId9" w:tooltip="consultantplus://offline/main?base=LAW;n=86577;fld=134;dst=100016" w:history="1">
        <w:r>
          <w:rPr>
            <w:sz w:val="26"/>
            <w:szCs w:val="26"/>
          </w:rPr>
          <w:t xml:space="preserve">индивидуальных программах реабилитации или </w:t>
        </w:r>
        <w:r>
          <w:rPr>
            <w:sz w:val="26"/>
            <w:szCs w:val="26"/>
          </w:rPr>
          <w:t xml:space="preserve">абилитации</w:t>
        </w:r>
        <w:r>
          <w:rPr>
            <w:sz w:val="26"/>
            <w:szCs w:val="26"/>
          </w:rPr>
          <w:t xml:space="preserve"> инвалидов (далее – ИПРА)</w:t>
        </w:r>
      </w:hyperlink>
      <w:r>
        <w:rPr>
          <w:sz w:val="26"/>
          <w:szCs w:val="26"/>
        </w:rPr>
        <w:t xml:space="preserve">, разрабатываемых федеральными государственными учреждениям</w:t>
      </w:r>
      <w:r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медико-социальной</w:t>
      </w:r>
      <w:r>
        <w:rPr>
          <w:sz w:val="26"/>
          <w:szCs w:val="26"/>
        </w:rPr>
        <w:t xml:space="preserve"> экспертизы.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6"/>
        <w:ind w:firstLine="709"/>
        <w:jc w:val="both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bookmarkStart w:id="0" w:name="_GoBack"/>
      <w:r/>
      <w:bookmarkEnd w:id="0"/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отношении инвалида вследствие военной травмы, полученной в результате участия в ходе специальной военной операции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ОСФР по Новосибирской области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срок не позднее двух рабочих дней со дня размещения на «Единой централизованной цифровой платформе в социальной сфере» (далее – ЕЦП) сведений из </w:t>
      </w:r>
      <w:r>
        <w:rPr>
          <w:sz w:val="26"/>
          <w:szCs w:val="26"/>
        </w:rPr>
        <w:t xml:space="preserve">ИПРА</w:t>
      </w:r>
      <w:r>
        <w:rPr>
          <w:sz w:val="26"/>
          <w:szCs w:val="26"/>
        </w:rPr>
        <w:t xml:space="preserve">, подтверждающих необходимость предоставления ему технического средства</w:t>
      </w:r>
      <w:r>
        <w:rPr>
          <w:sz w:val="26"/>
          <w:szCs w:val="26"/>
        </w:rPr>
        <w:t xml:space="preserve"> реабилитации (далее – ТСР)</w:t>
      </w:r>
      <w:r>
        <w:rPr>
          <w:sz w:val="26"/>
          <w:szCs w:val="26"/>
        </w:rPr>
        <w:t xml:space="preserve">, принимается решение о приобретении </w:t>
      </w:r>
      <w:r>
        <w:rPr>
          <w:sz w:val="26"/>
          <w:szCs w:val="26"/>
        </w:rPr>
        <w:t xml:space="preserve">ТСР</w:t>
      </w:r>
      <w:r>
        <w:rPr>
          <w:sz w:val="26"/>
          <w:szCs w:val="26"/>
        </w:rPr>
        <w:t xml:space="preserve"> с использованием электронного сертификата, без</w:t>
      </w:r>
      <w:r>
        <w:rPr>
          <w:sz w:val="26"/>
          <w:szCs w:val="26"/>
        </w:rPr>
        <w:t xml:space="preserve"> подачи заявления </w:t>
      </w:r>
      <w:r>
        <w:rPr>
          <w:sz w:val="26"/>
          <w:szCs w:val="26"/>
        </w:rPr>
        <w:t xml:space="preserve">(</w:t>
      </w:r>
      <w:r>
        <w:rPr>
          <w:sz w:val="26"/>
          <w:szCs w:val="26"/>
        </w:rPr>
        <w:t xml:space="preserve">проактивно</w:t>
      </w:r>
      <w:r>
        <w:rPr>
          <w:sz w:val="26"/>
          <w:szCs w:val="26"/>
        </w:rPr>
        <w:t xml:space="preserve">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Формирование электронного сертификата в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беззаявительном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порядке осуществляется на все виды ТСР, включенные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ИПРА, за исключением протезов и высокотехнологичных протезов.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Электронный сертифик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ат – это электронная запись в реестре, которая привязывается к номеру банковской системы МИР, выпущенной любым банком Российской Федерации. Сами денежные средства на карту не перечисляются, а резервируются в Федеральном казначействе, до совершения покупки.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Основанием для формирования электронных сертификатов на приобретение ТСР является наличие рекомендаций медицинских реабилитационных мероприятий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ИПРА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, и наличие сведений о номере национального платежного инструмента – платежной карты «МИР», выпущенной любым банком Российской Федерации.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Решение о приобретении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ТСР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с использованием электронного сертификата принимается уполномоченным органом в течение двух рабочих дней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со дня получения всех необходимых для принятия соответствующего решения документов и размещается на ЕЦП. В срок не позднее следующего рабочего дня со дня его размещения на ЕЦП передается в Государственную информационную систему электронных сертификатов.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При отсутствии в ОСФР по Новосибирской области данных о номере национального платежного инструмента сформировать электронные сертификаты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не представляется возможным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В таком случае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необходимо обратиться в ОСФР любым удобным способом: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pStyle w:val="84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через Портал государственных и муниципальных услуг в электронном виде (</w:t>
      </w:r>
      <w:hyperlink r:id="rId10" w:tooltip="http://www.gosuslugi.ru" w:history="1">
        <w:r>
          <w:rPr>
            <w:sz w:val="26"/>
            <w:szCs w:val="26"/>
          </w:rPr>
          <w:t xml:space="preserve">www.gosuslugi.ru</w:t>
        </w:r>
      </w:hyperlink>
      <w:r>
        <w:rPr>
          <w:sz w:val="26"/>
          <w:szCs w:val="26"/>
        </w:rPr>
        <w:t xml:space="preserve">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4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через офисы клиентских служб ОСФР;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4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через филиал Многофункционального центра организации предоставления государственных и муниципальных услуг;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4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 </w:t>
      </w:r>
      <w:r>
        <w:rPr>
          <w:sz w:val="26"/>
          <w:szCs w:val="26"/>
        </w:rPr>
        <w:t xml:space="preserve">путем направления почтового отправления по адресу: 630007, г. Новосибирск, ул. </w:t>
      </w:r>
      <w:r>
        <w:rPr>
          <w:sz w:val="26"/>
          <w:szCs w:val="26"/>
        </w:rPr>
        <w:t xml:space="preserve">Серебренниковская</w:t>
      </w:r>
      <w:r>
        <w:rPr>
          <w:sz w:val="26"/>
          <w:szCs w:val="26"/>
        </w:rPr>
        <w:t xml:space="preserve">, д. 19/1.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Оплата </w:t>
      </w:r>
      <w:r>
        <w:rPr>
          <w:sz w:val="26"/>
          <w:szCs w:val="26"/>
        </w:rPr>
        <w:t xml:space="preserve">ТСР</w:t>
      </w:r>
      <w:r>
        <w:rPr>
          <w:sz w:val="26"/>
          <w:szCs w:val="26"/>
        </w:rPr>
        <w:t xml:space="preserve"> осуществляется на основании сведений, содержащихся в электронном сертификате, в размере, не превышающем предельной стоимости технического средства (изделия) и (или) услуги по его ремонту, установленной в электронном сертификате.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если стоимость </w:t>
      </w:r>
      <w:r>
        <w:rPr>
          <w:sz w:val="26"/>
          <w:szCs w:val="26"/>
        </w:rPr>
        <w:t xml:space="preserve">ТСР</w:t>
      </w:r>
      <w:r>
        <w:rPr>
          <w:sz w:val="26"/>
          <w:szCs w:val="26"/>
        </w:rPr>
        <w:t xml:space="preserve">, приобрета</w:t>
      </w:r>
      <w:r>
        <w:rPr>
          <w:sz w:val="26"/>
          <w:szCs w:val="26"/>
        </w:rPr>
        <w:t xml:space="preserve">емого</w:t>
      </w:r>
      <w:r>
        <w:rPr>
          <w:sz w:val="26"/>
          <w:szCs w:val="26"/>
        </w:rPr>
        <w:t xml:space="preserve"> с использованием электронного сертификата, превышает предельную стоимость</w:t>
      </w:r>
      <w:r>
        <w:rPr>
          <w:sz w:val="26"/>
          <w:szCs w:val="26"/>
        </w:rPr>
        <w:t xml:space="preserve"> технического средства</w:t>
      </w:r>
      <w:r>
        <w:rPr>
          <w:sz w:val="26"/>
          <w:szCs w:val="26"/>
        </w:rPr>
        <w:t xml:space="preserve">, установленную в эл</w:t>
      </w:r>
      <w:r>
        <w:rPr>
          <w:sz w:val="26"/>
          <w:szCs w:val="26"/>
        </w:rPr>
        <w:t xml:space="preserve">ектронном сертификате, необходимо</w:t>
      </w:r>
      <w:r>
        <w:rPr>
          <w:sz w:val="26"/>
          <w:szCs w:val="26"/>
        </w:rPr>
        <w:t xml:space="preserve"> осуществить доплату до фактической стоимости за счет собственных средств.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е</w:t>
      </w:r>
      <w:r>
        <w:rPr>
          <w:sz w:val="26"/>
          <w:szCs w:val="26"/>
        </w:rPr>
        <w:t xml:space="preserve">сли стоимость </w:t>
      </w:r>
      <w:r>
        <w:rPr>
          <w:sz w:val="26"/>
          <w:szCs w:val="26"/>
        </w:rPr>
        <w:t xml:space="preserve">ТСР</w:t>
      </w:r>
      <w:r>
        <w:rPr>
          <w:sz w:val="26"/>
          <w:szCs w:val="26"/>
        </w:rPr>
        <w:t xml:space="preserve">, приобретаемого</w:t>
      </w:r>
      <w:r>
        <w:rPr>
          <w:sz w:val="26"/>
          <w:szCs w:val="26"/>
        </w:rPr>
        <w:t xml:space="preserve"> с использованием электронного сертификата, ниже предельной стоимости технического средства, установленной в </w:t>
      </w:r>
      <w:r>
        <w:rPr>
          <w:sz w:val="26"/>
          <w:szCs w:val="26"/>
        </w:rPr>
        <w:t xml:space="preserve">электронном сертификате, р</w:t>
      </w:r>
      <w:r>
        <w:rPr>
          <w:sz w:val="26"/>
          <w:szCs w:val="26"/>
        </w:rPr>
        <w:t xml:space="preserve">азница между фактической стоимостью и установленной в электронном сертификате предельной стоимостью </w:t>
      </w:r>
      <w:r>
        <w:rPr>
          <w:sz w:val="26"/>
          <w:szCs w:val="26"/>
        </w:rPr>
      </w:r>
      <w:r>
        <w:rPr>
          <w:sz w:val="26"/>
          <w:szCs w:val="26"/>
        </w:rPr>
        <w:t xml:space="preserve">не возмещается.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2"/>
    <w:next w:val="832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3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2"/>
    <w:next w:val="832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3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2"/>
    <w:next w:val="832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3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2"/>
    <w:next w:val="832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3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2"/>
    <w:next w:val="832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3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3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2"/>
    <w:next w:val="832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3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2"/>
    <w:next w:val="832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3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2"/>
    <w:next w:val="832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3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2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2"/>
    <w:next w:val="832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3"/>
    <w:link w:val="675"/>
    <w:uiPriority w:val="10"/>
    <w:rPr>
      <w:sz w:val="48"/>
      <w:szCs w:val="48"/>
    </w:rPr>
  </w:style>
  <w:style w:type="paragraph" w:styleId="677">
    <w:name w:val="Subtitle"/>
    <w:basedOn w:val="832"/>
    <w:next w:val="832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3"/>
    <w:link w:val="677"/>
    <w:uiPriority w:val="11"/>
    <w:rPr>
      <w:sz w:val="24"/>
      <w:szCs w:val="24"/>
    </w:rPr>
  </w:style>
  <w:style w:type="paragraph" w:styleId="679">
    <w:name w:val="Quote"/>
    <w:basedOn w:val="832"/>
    <w:next w:val="832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2"/>
    <w:next w:val="832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2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3"/>
    <w:link w:val="683"/>
    <w:uiPriority w:val="99"/>
  </w:style>
  <w:style w:type="paragraph" w:styleId="685">
    <w:name w:val="Footer"/>
    <w:basedOn w:val="832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3"/>
    <w:link w:val="685"/>
    <w:uiPriority w:val="99"/>
  </w:style>
  <w:style w:type="paragraph" w:styleId="687">
    <w:name w:val="Caption"/>
    <w:basedOn w:val="832"/>
    <w:next w:val="832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3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ody Text"/>
    <w:basedOn w:val="832"/>
    <w:link w:val="837"/>
    <w:unhideWhenUsed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7" w:customStyle="1">
    <w:name w:val="Основной текст Знак"/>
    <w:basedOn w:val="833"/>
    <w:link w:val="836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8">
    <w:name w:val="Body Text Indent 3"/>
    <w:basedOn w:val="832"/>
    <w:link w:val="839"/>
    <w:uiPriority w:val="99"/>
    <w:semiHidden/>
    <w:unhideWhenUsed/>
    <w:pPr>
      <w:ind w:left="283"/>
      <w:spacing w:after="120"/>
    </w:pPr>
    <w:rPr>
      <w:sz w:val="16"/>
      <w:szCs w:val="16"/>
    </w:rPr>
  </w:style>
  <w:style w:type="character" w:styleId="839" w:customStyle="1">
    <w:name w:val="Основной текст с отступом 3 Знак"/>
    <w:basedOn w:val="833"/>
    <w:link w:val="838"/>
    <w:uiPriority w:val="99"/>
    <w:semiHidden/>
    <w:rPr>
      <w:sz w:val="16"/>
      <w:szCs w:val="16"/>
    </w:rPr>
  </w:style>
  <w:style w:type="paragraph" w:styleId="840" w:customStyle="1">
    <w:name w:val="ConsPlusNormal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41">
    <w:name w:val="Hyperlink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hyperlink" Target="consultantplus://offline/main?base=LAW;n=86577;fld=134;dst=100016" TargetMode="External"/><Relationship Id="rId10" Type="http://schemas.openxmlformats.org/officeDocument/2006/relationships/hyperlink" Target="http://www.gosuslugi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07562-4B20-4984-9AC0-F20397F56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Р7-Офис/2025.3.2.1058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Байшева Анастасия Анатольевна</dc:creator>
  <cp:keywords/>
  <dc:description/>
  <cp:lastModifiedBy>fngr@NSO.LOC</cp:lastModifiedBy>
  <cp:revision>11</cp:revision>
  <dcterms:created xsi:type="dcterms:W3CDTF">2026-09-15T05:02:00Z</dcterms:created>
  <dcterms:modified xsi:type="dcterms:W3CDTF">2026-09-23T02:45:39Z</dcterms:modified>
</cp:coreProperties>
</file>